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7E66" w14:textId="77777777" w:rsidR="00100B87" w:rsidRPr="00582C79" w:rsidRDefault="00582C79" w:rsidP="00582C79">
      <w:pPr>
        <w:tabs>
          <w:tab w:val="left" w:pos="1280"/>
        </w:tabs>
        <w:rPr>
          <w:rFonts w:asciiTheme="majorHAnsi" w:hAnsiTheme="majorHAnsi"/>
          <w:b/>
          <w:color w:val="FFFFFF" w:themeColor="background1"/>
          <w:sz w:val="28"/>
          <w:szCs w:val="28"/>
        </w:rPr>
      </w:pPr>
      <w:r w:rsidRPr="00582C79">
        <w:rPr>
          <w:rFonts w:asciiTheme="majorHAnsi" w:hAnsiTheme="majorHAnsi"/>
          <w:b/>
          <w:color w:val="FFFFFF" w:themeColor="background1"/>
          <w:sz w:val="28"/>
          <w:szCs w:val="28"/>
          <w:highlight w:val="blue"/>
        </w:rPr>
        <w:t>MIDTOWN</w:t>
      </w:r>
    </w:p>
    <w:p w14:paraId="5F75EF30" w14:textId="77777777" w:rsidR="00582C79" w:rsidRPr="00582C79" w:rsidRDefault="00582C79" w:rsidP="00582C79">
      <w:pPr>
        <w:tabs>
          <w:tab w:val="left" w:pos="1280"/>
        </w:tabs>
        <w:rPr>
          <w:rFonts w:asciiTheme="majorHAnsi" w:hAnsiTheme="majorHAnsi"/>
          <w:b/>
          <w:sz w:val="28"/>
          <w:szCs w:val="28"/>
        </w:rPr>
      </w:pPr>
      <w:r w:rsidRPr="00582C79">
        <w:rPr>
          <w:rFonts w:asciiTheme="majorHAnsi" w:hAnsiTheme="majorHAnsi"/>
          <w:b/>
          <w:sz w:val="28"/>
          <w:szCs w:val="28"/>
        </w:rPr>
        <w:t>SPECIAL TACTICS TEAM (STT)</w:t>
      </w:r>
    </w:p>
    <w:p w14:paraId="4A65E013" w14:textId="61726922" w:rsidR="00582C79" w:rsidRPr="0043469A" w:rsidRDefault="0043469A">
      <w:pPr>
        <w:rPr>
          <w:rFonts w:asciiTheme="majorHAnsi" w:hAnsiTheme="majorHAnsi"/>
          <w:i/>
          <w:sz w:val="22"/>
          <w:szCs w:val="22"/>
        </w:rPr>
      </w:pPr>
      <w:r w:rsidRPr="0043469A">
        <w:rPr>
          <w:rFonts w:asciiTheme="majorHAnsi" w:hAnsiTheme="majorHAnsi"/>
          <w:i/>
          <w:sz w:val="22"/>
          <w:szCs w:val="22"/>
        </w:rPr>
        <w:t>04JAN2021</w:t>
      </w:r>
      <w:r w:rsidR="00FE7A26">
        <w:rPr>
          <w:rFonts w:asciiTheme="majorHAnsi" w:hAnsiTheme="majorHAnsi"/>
          <w:i/>
          <w:sz w:val="22"/>
          <w:szCs w:val="22"/>
        </w:rPr>
        <w:t xml:space="preserve"> – updated 10FEB2021</w:t>
      </w:r>
    </w:p>
    <w:p w14:paraId="4152185C" w14:textId="77777777" w:rsidR="00582C79" w:rsidRDefault="00582C79">
      <w:pPr>
        <w:rPr>
          <w:rFonts w:asciiTheme="majorHAnsi" w:hAnsiTheme="majorHAnsi"/>
          <w:sz w:val="22"/>
          <w:szCs w:val="22"/>
        </w:rPr>
      </w:pPr>
    </w:p>
    <w:p w14:paraId="04B166FB" w14:textId="17C703D5" w:rsidR="008704C8" w:rsidRPr="008704C8" w:rsidRDefault="00345278" w:rsidP="00FE7A2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direct response to the outcomes of the Midtown Charrette held December 7-9, 2020, t</w:t>
      </w:r>
      <w:r w:rsidR="00582C79">
        <w:rPr>
          <w:rFonts w:asciiTheme="majorHAnsi" w:hAnsiTheme="majorHAnsi"/>
          <w:sz w:val="22"/>
          <w:szCs w:val="22"/>
        </w:rPr>
        <w:t>he STT is being created to serve as an action-oriented team to develop initial solutions and strategies for moving forward the red</w:t>
      </w:r>
      <w:r w:rsidR="008704C8">
        <w:rPr>
          <w:rFonts w:asciiTheme="majorHAnsi" w:hAnsiTheme="majorHAnsi"/>
          <w:sz w:val="22"/>
          <w:szCs w:val="22"/>
        </w:rPr>
        <w:t>e</w:t>
      </w:r>
      <w:r w:rsidR="00FE7A26">
        <w:rPr>
          <w:rFonts w:asciiTheme="majorHAnsi" w:hAnsiTheme="majorHAnsi"/>
          <w:sz w:val="22"/>
          <w:szCs w:val="22"/>
        </w:rPr>
        <w:t xml:space="preserve">velopment of the Midtown Site. </w:t>
      </w:r>
    </w:p>
    <w:p w14:paraId="377E8FDB" w14:textId="77777777" w:rsidR="002B0F11" w:rsidRDefault="002B0F11">
      <w:pPr>
        <w:rPr>
          <w:rFonts w:asciiTheme="majorHAnsi" w:hAnsiTheme="majorHAnsi"/>
          <w:sz w:val="22"/>
          <w:szCs w:val="22"/>
        </w:rPr>
      </w:pPr>
    </w:p>
    <w:p w14:paraId="4D3470E3" w14:textId="25FF1AB0" w:rsidR="002B0F11" w:rsidRPr="00582C79" w:rsidRDefault="002B0F1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STT met for its first time on December 30, 2020 to begin organizing it efforts into categories that were based on the r</w:t>
      </w:r>
      <w:r w:rsidR="00345278">
        <w:rPr>
          <w:rFonts w:asciiTheme="majorHAnsi" w:hAnsiTheme="majorHAnsi"/>
          <w:sz w:val="22"/>
          <w:szCs w:val="22"/>
        </w:rPr>
        <w:t>esults of the Midtown Charrette as stated within the</w:t>
      </w:r>
      <w:r>
        <w:rPr>
          <w:rFonts w:asciiTheme="majorHAnsi" w:hAnsiTheme="majorHAnsi"/>
          <w:sz w:val="22"/>
          <w:szCs w:val="22"/>
        </w:rPr>
        <w:t xml:space="preserve"> Midtown Report: Charrette &amp; Predevelopment Update @ ENA 6-Month Period dated December 16, 2020</w:t>
      </w:r>
      <w:r w:rsidR="00F83C03">
        <w:rPr>
          <w:rFonts w:asciiTheme="majorHAnsi" w:hAnsiTheme="majorHAnsi"/>
          <w:sz w:val="22"/>
          <w:szCs w:val="22"/>
        </w:rPr>
        <w:t>, which was also submitted to the City’s Governing Body</w:t>
      </w:r>
      <w:r>
        <w:rPr>
          <w:rFonts w:asciiTheme="majorHAnsi" w:hAnsiTheme="majorHAnsi"/>
          <w:sz w:val="22"/>
          <w:szCs w:val="22"/>
        </w:rPr>
        <w:t>.</w:t>
      </w:r>
      <w:r w:rsidR="003B41A6">
        <w:rPr>
          <w:rFonts w:asciiTheme="majorHAnsi" w:hAnsiTheme="majorHAnsi"/>
          <w:sz w:val="22"/>
          <w:szCs w:val="22"/>
        </w:rPr>
        <w:t xml:space="preserve">  As such, the STT established the following categories:</w:t>
      </w:r>
    </w:p>
    <w:p w14:paraId="6FDB8875" w14:textId="77777777" w:rsidR="00582C79" w:rsidRPr="00582C79" w:rsidRDefault="00582C79">
      <w:pPr>
        <w:rPr>
          <w:rFonts w:asciiTheme="majorHAnsi" w:hAnsiTheme="majorHAnsi"/>
          <w:sz w:val="22"/>
          <w:szCs w:val="22"/>
        </w:rPr>
      </w:pPr>
    </w:p>
    <w:p w14:paraId="268B5961" w14:textId="77777777" w:rsidR="003B41A6" w:rsidRDefault="00582C79" w:rsidP="00582C7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3B41A6">
        <w:rPr>
          <w:rFonts w:asciiTheme="majorHAnsi" w:eastAsia="Times New Roman" w:hAnsiTheme="majorHAnsi" w:cs="Times New Roman"/>
          <w:b/>
          <w:bCs/>
          <w:sz w:val="22"/>
          <w:szCs w:val="22"/>
        </w:rPr>
        <w:t>Existing Buildings &amp; Site Conditions</w:t>
      </w:r>
    </w:p>
    <w:p w14:paraId="46240037" w14:textId="77777777" w:rsidR="003B41A6" w:rsidRPr="003B41A6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3B41A6">
        <w:rPr>
          <w:rFonts w:asciiTheme="majorHAnsi" w:eastAsia="Times New Roman" w:hAnsiTheme="majorHAnsi" w:cs="Times New Roman"/>
          <w:sz w:val="22"/>
          <w:szCs w:val="22"/>
        </w:rPr>
        <w:t>Demolition</w:t>
      </w:r>
    </w:p>
    <w:p w14:paraId="08ADEE9F" w14:textId="77777777" w:rsidR="003B41A6" w:rsidRPr="003B41A6" w:rsidRDefault="003B41A6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Rehab/ </w:t>
      </w:r>
      <w:r w:rsidR="00582C79" w:rsidRPr="003B41A6">
        <w:rPr>
          <w:rFonts w:asciiTheme="majorHAnsi" w:eastAsia="Times New Roman" w:hAnsiTheme="majorHAnsi" w:cs="Times New Roman"/>
          <w:sz w:val="22"/>
          <w:szCs w:val="22"/>
        </w:rPr>
        <w:t>Reuse</w:t>
      </w:r>
    </w:p>
    <w:p w14:paraId="064728CD" w14:textId="186AF5D5" w:rsidR="003B41A6" w:rsidRPr="00886B03" w:rsidRDefault="00582C79" w:rsidP="00886B03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3B41A6">
        <w:rPr>
          <w:rFonts w:asciiTheme="majorHAnsi" w:eastAsia="Times New Roman" w:hAnsiTheme="majorHAnsi" w:cs="Times New Roman"/>
          <w:sz w:val="22"/>
          <w:szCs w:val="22"/>
        </w:rPr>
        <w:t>Civic Buildings - MOU (Library, Arts Complex, Performance Theater)</w:t>
      </w:r>
    </w:p>
    <w:p w14:paraId="51BBBFE3" w14:textId="284D99AD" w:rsidR="003B41A6" w:rsidRPr="00A63119" w:rsidRDefault="003B41A6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3B41A6">
        <w:rPr>
          <w:rFonts w:asciiTheme="majorHAnsi" w:eastAsia="Times New Roman" w:hAnsiTheme="majorHAnsi" w:cs="Times New Roman"/>
          <w:sz w:val="22"/>
          <w:szCs w:val="22"/>
        </w:rPr>
        <w:t>Garson Studios</w:t>
      </w:r>
      <w:r w:rsidR="00652B2E">
        <w:rPr>
          <w:rFonts w:asciiTheme="majorHAnsi" w:eastAsia="Times New Roman" w:hAnsiTheme="majorHAnsi" w:cs="Times New Roman"/>
          <w:sz w:val="22"/>
          <w:szCs w:val="22"/>
        </w:rPr>
        <w:t xml:space="preserve"> – existing lease, proposal for operations/ development expansion</w:t>
      </w:r>
    </w:p>
    <w:p w14:paraId="5A0A6992" w14:textId="0936CD89" w:rsidR="00A63119" w:rsidRPr="00886B03" w:rsidRDefault="00A6311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Existing Leases *</w:t>
      </w:r>
      <w:r w:rsidR="00A95D0D">
        <w:rPr>
          <w:rFonts w:asciiTheme="majorHAnsi" w:eastAsia="Times New Roman" w:hAnsiTheme="majorHAnsi" w:cs="Times New Roman"/>
          <w:sz w:val="22"/>
          <w:szCs w:val="22"/>
        </w:rPr>
        <w:t xml:space="preserve"> (see Public Finance)</w:t>
      </w:r>
    </w:p>
    <w:p w14:paraId="5A65A180" w14:textId="07F1A364" w:rsidR="00886B03" w:rsidRPr="004E2979" w:rsidRDefault="00886B03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3B41A6">
        <w:rPr>
          <w:rFonts w:asciiTheme="majorHAnsi" w:eastAsia="Times New Roman" w:hAnsiTheme="majorHAnsi" w:cs="Times New Roman"/>
          <w:sz w:val="22"/>
          <w:szCs w:val="22"/>
        </w:rPr>
        <w:t>Environmental Assessment</w:t>
      </w:r>
    </w:p>
    <w:p w14:paraId="36311808" w14:textId="36F3D4B5" w:rsidR="004E2979" w:rsidRPr="003B41A6" w:rsidRDefault="004E29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FF&amp;E Assets</w:t>
      </w:r>
    </w:p>
    <w:p w14:paraId="1219A1B0" w14:textId="77777777" w:rsidR="00582C79" w:rsidRPr="00582C79" w:rsidRDefault="00582C79" w:rsidP="00582C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C5CA5B1" w14:textId="3B576722" w:rsidR="00582C79" w:rsidRPr="00140416" w:rsidRDefault="00582C79" w:rsidP="0014041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140416">
        <w:rPr>
          <w:rFonts w:asciiTheme="majorHAnsi" w:eastAsia="Times New Roman" w:hAnsiTheme="majorHAnsi" w:cs="Times New Roman"/>
          <w:b/>
          <w:bCs/>
          <w:sz w:val="22"/>
          <w:szCs w:val="22"/>
        </w:rPr>
        <w:t>Master Plan &amp; Phase 1</w:t>
      </w:r>
    </w:p>
    <w:p w14:paraId="094D5F74" w14:textId="5A771679" w:rsidR="00582C79" w:rsidRDefault="00582C79" w:rsidP="00140416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140416">
        <w:rPr>
          <w:rFonts w:asciiTheme="majorHAnsi" w:eastAsia="Times New Roman" w:hAnsiTheme="majorHAnsi" w:cs="Times New Roman"/>
          <w:sz w:val="22"/>
          <w:szCs w:val="22"/>
        </w:rPr>
        <w:t>Scenarios</w:t>
      </w:r>
    </w:p>
    <w:p w14:paraId="10178316" w14:textId="77777777" w:rsidR="00140416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140416">
        <w:rPr>
          <w:rFonts w:asciiTheme="majorHAnsi" w:eastAsia="Times New Roman" w:hAnsiTheme="majorHAnsi" w:cs="Times New Roman"/>
          <w:sz w:val="22"/>
          <w:szCs w:val="22"/>
        </w:rPr>
        <w:t>Connectivity/ Access</w:t>
      </w:r>
    </w:p>
    <w:p w14:paraId="23D0C64D" w14:textId="77777777" w:rsidR="00140416" w:rsidRDefault="00140416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Phasing</w:t>
      </w:r>
    </w:p>
    <w:p w14:paraId="4F3C9BF6" w14:textId="77228FEF" w:rsidR="00582C79" w:rsidRPr="00140416" w:rsidRDefault="00140416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Phase 1 / Early S</w:t>
      </w:r>
      <w:r w:rsidR="00582C79" w:rsidRPr="00140416">
        <w:rPr>
          <w:rFonts w:asciiTheme="majorHAnsi" w:eastAsia="Times New Roman" w:hAnsiTheme="majorHAnsi" w:cs="Times New Roman"/>
          <w:sz w:val="22"/>
          <w:szCs w:val="22"/>
        </w:rPr>
        <w:t>tart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Project</w:t>
      </w:r>
      <w:r w:rsidR="00582C79" w:rsidRPr="00140416">
        <w:rPr>
          <w:rFonts w:asciiTheme="majorHAnsi" w:eastAsia="Times New Roman" w:hAnsiTheme="majorHAnsi" w:cs="Times New Roman"/>
          <w:sz w:val="22"/>
          <w:szCs w:val="22"/>
        </w:rPr>
        <w:t>s</w:t>
      </w:r>
    </w:p>
    <w:p w14:paraId="633818B6" w14:textId="77777777" w:rsidR="00582C79" w:rsidRPr="00582C79" w:rsidRDefault="00582C79" w:rsidP="00582C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9AEAA37" w14:textId="77777777" w:rsidR="00652B2E" w:rsidRDefault="00582C79" w:rsidP="00582C7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652B2E">
        <w:rPr>
          <w:rFonts w:asciiTheme="majorHAnsi" w:eastAsia="Times New Roman" w:hAnsiTheme="majorHAnsi" w:cs="Times New Roman"/>
          <w:b/>
          <w:bCs/>
          <w:sz w:val="22"/>
          <w:szCs w:val="22"/>
        </w:rPr>
        <w:t>Infrastructure</w:t>
      </w:r>
    </w:p>
    <w:p w14:paraId="0E66F950" w14:textId="77777777" w:rsidR="00652B2E" w:rsidRPr="00652B2E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652B2E">
        <w:rPr>
          <w:rFonts w:asciiTheme="majorHAnsi" w:eastAsia="Times New Roman" w:hAnsiTheme="majorHAnsi" w:cs="Times New Roman"/>
          <w:sz w:val="22"/>
          <w:szCs w:val="22"/>
        </w:rPr>
        <w:t>Investigations, Assessments, Reports</w:t>
      </w:r>
    </w:p>
    <w:p w14:paraId="536F24B8" w14:textId="1F7728EA" w:rsidR="00582C79" w:rsidRPr="00652B2E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652B2E">
        <w:rPr>
          <w:rFonts w:asciiTheme="majorHAnsi" w:eastAsia="Times New Roman" w:hAnsiTheme="majorHAnsi" w:cs="Times New Roman"/>
          <w:sz w:val="22"/>
          <w:szCs w:val="22"/>
        </w:rPr>
        <w:t>Phasing</w:t>
      </w:r>
    </w:p>
    <w:p w14:paraId="39694AFC" w14:textId="1677ACFB" w:rsidR="00652B2E" w:rsidRPr="00652B2E" w:rsidRDefault="00652B2E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Utility Financing *</w:t>
      </w:r>
      <w:r w:rsidR="00A95D0D">
        <w:rPr>
          <w:rFonts w:asciiTheme="majorHAnsi" w:eastAsia="Times New Roman" w:hAnsiTheme="majorHAnsi" w:cs="Times New Roman"/>
          <w:sz w:val="22"/>
          <w:szCs w:val="22"/>
        </w:rPr>
        <w:t xml:space="preserve"> (see Public Finance)</w:t>
      </w:r>
    </w:p>
    <w:p w14:paraId="69E07F1B" w14:textId="77777777" w:rsidR="00582C79" w:rsidRPr="00582C79" w:rsidRDefault="00582C79" w:rsidP="00582C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4792DF6" w14:textId="4C358A87" w:rsidR="00582C79" w:rsidRPr="004475CD" w:rsidRDefault="00582C79" w:rsidP="004475C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4475CD">
        <w:rPr>
          <w:rFonts w:asciiTheme="majorHAnsi" w:eastAsia="Times New Roman" w:hAnsiTheme="majorHAnsi" w:cs="Times New Roman"/>
          <w:b/>
          <w:bCs/>
          <w:sz w:val="22"/>
          <w:szCs w:val="22"/>
        </w:rPr>
        <w:t>Entitlements</w:t>
      </w:r>
    </w:p>
    <w:p w14:paraId="17E51993" w14:textId="15E9B70C" w:rsidR="00582C79" w:rsidRDefault="00582C79" w:rsidP="004475CD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4475CD">
        <w:rPr>
          <w:rFonts w:asciiTheme="majorHAnsi" w:eastAsia="Times New Roman" w:hAnsiTheme="majorHAnsi" w:cs="Times New Roman"/>
          <w:sz w:val="22"/>
          <w:szCs w:val="22"/>
        </w:rPr>
        <w:t>Requirements</w:t>
      </w:r>
    </w:p>
    <w:p w14:paraId="4B12E2C2" w14:textId="42201762" w:rsidR="00582C79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4475CD">
        <w:rPr>
          <w:rFonts w:asciiTheme="majorHAnsi" w:eastAsia="Times New Roman" w:hAnsiTheme="majorHAnsi" w:cs="Times New Roman"/>
          <w:sz w:val="22"/>
          <w:szCs w:val="22"/>
        </w:rPr>
        <w:t>Phased</w:t>
      </w:r>
    </w:p>
    <w:p w14:paraId="39B059CE" w14:textId="7AB38037" w:rsidR="005037D6" w:rsidRPr="004475CD" w:rsidRDefault="005037D6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Applicant / Planner</w:t>
      </w:r>
    </w:p>
    <w:p w14:paraId="2E921BD2" w14:textId="77777777" w:rsidR="00582C79" w:rsidRPr="00582C79" w:rsidRDefault="00582C79" w:rsidP="00582C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6421DFB" w14:textId="5097DC29" w:rsidR="00582C79" w:rsidRPr="0073607B" w:rsidRDefault="00582C79" w:rsidP="007360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 w:rsidRPr="0073607B">
        <w:rPr>
          <w:rFonts w:asciiTheme="majorHAnsi" w:eastAsia="Times New Roman" w:hAnsiTheme="majorHAnsi" w:cs="Times New Roman"/>
          <w:b/>
          <w:bCs/>
          <w:sz w:val="22"/>
          <w:szCs w:val="22"/>
        </w:rPr>
        <w:t>Public Finance</w:t>
      </w:r>
    </w:p>
    <w:p w14:paraId="085A387D" w14:textId="77777777" w:rsidR="0073607B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73607B">
        <w:rPr>
          <w:rFonts w:asciiTheme="majorHAnsi" w:eastAsia="Times New Roman" w:hAnsiTheme="majorHAnsi" w:cs="Times New Roman"/>
          <w:sz w:val="22"/>
          <w:szCs w:val="22"/>
        </w:rPr>
        <w:t>Utility Fees</w:t>
      </w:r>
      <w:r w:rsidR="0073607B">
        <w:rPr>
          <w:rFonts w:asciiTheme="majorHAnsi" w:eastAsia="Times New Roman" w:hAnsiTheme="majorHAnsi" w:cs="Times New Roman"/>
          <w:sz w:val="22"/>
          <w:szCs w:val="22"/>
        </w:rPr>
        <w:t xml:space="preserve"> / Utility Financing *</w:t>
      </w:r>
    </w:p>
    <w:p w14:paraId="3550C54D" w14:textId="20BDE16C" w:rsidR="0073607B" w:rsidRDefault="001C6DB2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Governance Structure (e.g. </w:t>
      </w:r>
      <w:r w:rsidR="00582C79" w:rsidRPr="0073607B">
        <w:rPr>
          <w:rFonts w:asciiTheme="majorHAnsi" w:eastAsia="Times New Roman" w:hAnsiTheme="majorHAnsi" w:cs="Times New Roman"/>
          <w:sz w:val="22"/>
          <w:szCs w:val="22"/>
        </w:rPr>
        <w:t>Metropolitan Redevelopment Area</w:t>
      </w:r>
      <w:r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0C18D738" w14:textId="14A7ADA9" w:rsidR="0073607B" w:rsidRDefault="00C35C6C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Financing Options (e.g. </w:t>
      </w:r>
      <w:r w:rsidR="00582C79" w:rsidRPr="0073607B">
        <w:rPr>
          <w:rFonts w:asciiTheme="majorHAnsi" w:eastAsia="Times New Roman" w:hAnsiTheme="majorHAnsi" w:cs="Times New Roman"/>
          <w:sz w:val="22"/>
          <w:szCs w:val="22"/>
        </w:rPr>
        <w:t>Bond</w:t>
      </w:r>
      <w:r>
        <w:rPr>
          <w:rFonts w:asciiTheme="majorHAnsi" w:eastAsia="Times New Roman" w:hAnsiTheme="majorHAnsi" w:cs="Times New Roman"/>
          <w:sz w:val="22"/>
          <w:szCs w:val="22"/>
        </w:rPr>
        <w:t>, TID, other)</w:t>
      </w:r>
    </w:p>
    <w:p w14:paraId="4E4DDC56" w14:textId="2F54BA0C" w:rsidR="0073607B" w:rsidRDefault="00EA663A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73607B">
        <w:rPr>
          <w:rFonts w:asciiTheme="majorHAnsi" w:eastAsia="Times New Roman" w:hAnsiTheme="majorHAnsi" w:cs="Times New Roman"/>
          <w:sz w:val="22"/>
          <w:szCs w:val="22"/>
        </w:rPr>
        <w:t xml:space="preserve">Cash Flow – </w:t>
      </w:r>
      <w:r w:rsidR="004762A0" w:rsidRPr="0073607B">
        <w:rPr>
          <w:rFonts w:asciiTheme="majorHAnsi" w:eastAsia="Times New Roman" w:hAnsiTheme="majorHAnsi" w:cs="Times New Roman"/>
          <w:sz w:val="22"/>
          <w:szCs w:val="22"/>
        </w:rPr>
        <w:t>Early Start P</w:t>
      </w:r>
      <w:r w:rsidRPr="0073607B">
        <w:rPr>
          <w:rFonts w:asciiTheme="majorHAnsi" w:eastAsia="Times New Roman" w:hAnsiTheme="majorHAnsi" w:cs="Times New Roman"/>
          <w:sz w:val="22"/>
          <w:szCs w:val="22"/>
        </w:rPr>
        <w:t>rojects</w:t>
      </w:r>
      <w:r w:rsidR="00D12671">
        <w:rPr>
          <w:rFonts w:asciiTheme="majorHAnsi" w:eastAsia="Times New Roman" w:hAnsiTheme="majorHAnsi" w:cs="Times New Roman"/>
          <w:sz w:val="22"/>
          <w:szCs w:val="22"/>
        </w:rPr>
        <w:t>/ Garson Studios, and Budget P</w:t>
      </w:r>
      <w:r w:rsidRPr="0073607B">
        <w:rPr>
          <w:rFonts w:asciiTheme="majorHAnsi" w:eastAsia="Times New Roman" w:hAnsiTheme="majorHAnsi" w:cs="Times New Roman"/>
          <w:sz w:val="22"/>
          <w:szCs w:val="22"/>
        </w:rPr>
        <w:t xml:space="preserve">hasing to </w:t>
      </w:r>
      <w:r w:rsidR="00EB1107" w:rsidRPr="0073607B">
        <w:rPr>
          <w:rFonts w:asciiTheme="majorHAnsi" w:eastAsia="Times New Roman" w:hAnsiTheme="majorHAnsi" w:cs="Times New Roman"/>
          <w:sz w:val="22"/>
          <w:szCs w:val="22"/>
        </w:rPr>
        <w:t>increase cash flow</w:t>
      </w:r>
      <w:r w:rsidR="00EB1107">
        <w:rPr>
          <w:rFonts w:asciiTheme="majorHAnsi" w:eastAsia="Times New Roman" w:hAnsiTheme="majorHAnsi" w:cs="Times New Roman"/>
          <w:sz w:val="22"/>
          <w:szCs w:val="22"/>
        </w:rPr>
        <w:t xml:space="preserve">, reduce </w:t>
      </w:r>
      <w:r w:rsidR="000C2AEA" w:rsidRPr="0073607B">
        <w:rPr>
          <w:rFonts w:asciiTheme="majorHAnsi" w:eastAsia="Times New Roman" w:hAnsiTheme="majorHAnsi" w:cs="Times New Roman"/>
          <w:sz w:val="22"/>
          <w:szCs w:val="22"/>
        </w:rPr>
        <w:t xml:space="preserve">operational burden, </w:t>
      </w:r>
      <w:r w:rsidR="00EB1107">
        <w:rPr>
          <w:rFonts w:asciiTheme="majorHAnsi" w:eastAsia="Times New Roman" w:hAnsiTheme="majorHAnsi" w:cs="Times New Roman"/>
          <w:sz w:val="22"/>
          <w:szCs w:val="22"/>
        </w:rPr>
        <w:t>source for funding</w:t>
      </w:r>
      <w:r w:rsidR="000C2AEA" w:rsidRPr="0073607B">
        <w:rPr>
          <w:rFonts w:asciiTheme="majorHAnsi" w:eastAsia="Times New Roman" w:hAnsiTheme="majorHAnsi" w:cs="Times New Roman"/>
          <w:sz w:val="22"/>
          <w:szCs w:val="22"/>
        </w:rPr>
        <w:t xml:space="preserve"> predevelopment costs</w:t>
      </w:r>
    </w:p>
    <w:p w14:paraId="3E5B0D0F" w14:textId="77777777" w:rsidR="0073607B" w:rsidRDefault="000C2AEA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73607B">
        <w:rPr>
          <w:rFonts w:asciiTheme="majorHAnsi" w:eastAsia="Times New Roman" w:hAnsiTheme="majorHAnsi" w:cs="Times New Roman"/>
          <w:sz w:val="22"/>
          <w:szCs w:val="22"/>
        </w:rPr>
        <w:t>Enterprise Funds</w:t>
      </w:r>
    </w:p>
    <w:p w14:paraId="3DE24C24" w14:textId="4610C63A" w:rsidR="00582C79" w:rsidRPr="0073607B" w:rsidRDefault="0055158E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73607B">
        <w:rPr>
          <w:rFonts w:asciiTheme="majorHAnsi" w:eastAsia="Times New Roman" w:hAnsiTheme="majorHAnsi" w:cs="Times New Roman"/>
          <w:sz w:val="22"/>
          <w:szCs w:val="22"/>
        </w:rPr>
        <w:t xml:space="preserve">Other Financing </w:t>
      </w:r>
      <w:r w:rsidR="00582C79" w:rsidRPr="0073607B">
        <w:rPr>
          <w:rFonts w:asciiTheme="majorHAnsi" w:eastAsia="Times New Roman" w:hAnsiTheme="majorHAnsi" w:cs="Times New Roman"/>
          <w:sz w:val="22"/>
          <w:szCs w:val="22"/>
        </w:rPr>
        <w:t>Options (list in order of feasibility and priority)</w:t>
      </w:r>
    </w:p>
    <w:p w14:paraId="2D8FE27D" w14:textId="77777777" w:rsidR="00582C79" w:rsidRPr="00582C79" w:rsidRDefault="00582C79" w:rsidP="00582C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3F08DFC" w14:textId="1D3B5405" w:rsidR="00582C79" w:rsidRPr="00CA4BC3" w:rsidRDefault="00C32A89" w:rsidP="00CA4BC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</w:rPr>
        <w:t>RFEI and Solicitation</w:t>
      </w:r>
    </w:p>
    <w:p w14:paraId="3D026269" w14:textId="77777777" w:rsidR="00CA4BC3" w:rsidRDefault="00582C79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CA4BC3">
        <w:rPr>
          <w:rFonts w:asciiTheme="majorHAnsi" w:eastAsia="Times New Roman" w:hAnsiTheme="majorHAnsi" w:cs="Times New Roman"/>
          <w:sz w:val="22"/>
          <w:szCs w:val="22"/>
        </w:rPr>
        <w:t>Amendments</w:t>
      </w:r>
    </w:p>
    <w:p w14:paraId="7BB61EBD" w14:textId="77777777" w:rsidR="00D44557" w:rsidRDefault="00CA4BC3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 w:rsidRPr="00CA4BC3">
        <w:rPr>
          <w:rFonts w:asciiTheme="majorHAnsi" w:eastAsia="Times New Roman" w:hAnsiTheme="majorHAnsi" w:cs="Times New Roman"/>
          <w:sz w:val="22"/>
          <w:szCs w:val="22"/>
        </w:rPr>
        <w:t>Early Start P</w:t>
      </w:r>
      <w:r w:rsidR="00582C79" w:rsidRPr="00CA4BC3">
        <w:rPr>
          <w:rFonts w:asciiTheme="majorHAnsi" w:eastAsia="Times New Roman" w:hAnsiTheme="majorHAnsi" w:cs="Times New Roman"/>
          <w:sz w:val="22"/>
          <w:szCs w:val="22"/>
        </w:rPr>
        <w:t>rojects</w:t>
      </w:r>
    </w:p>
    <w:p w14:paraId="57359680" w14:textId="14C643CE" w:rsidR="00CA4BC3" w:rsidRDefault="00D44557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Civic Buildings</w:t>
      </w:r>
    </w:p>
    <w:p w14:paraId="2C2F8DD3" w14:textId="50AFE1EF" w:rsidR="00582C79" w:rsidRDefault="00CA4BC3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RFEI and </w:t>
      </w:r>
      <w:r w:rsidR="00572E01" w:rsidRPr="00CA4BC3">
        <w:rPr>
          <w:rFonts w:asciiTheme="majorHAnsi" w:eastAsia="Times New Roman" w:hAnsiTheme="majorHAnsi" w:cs="Times New Roman"/>
          <w:sz w:val="22"/>
          <w:szCs w:val="22"/>
        </w:rPr>
        <w:t xml:space="preserve">Alternative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Procurement </w:t>
      </w:r>
      <w:r w:rsidR="00572E01" w:rsidRPr="00CA4BC3">
        <w:rPr>
          <w:rFonts w:asciiTheme="majorHAnsi" w:eastAsia="Times New Roman" w:hAnsiTheme="majorHAnsi" w:cs="Times New Roman"/>
          <w:sz w:val="22"/>
          <w:szCs w:val="22"/>
        </w:rPr>
        <w:t>S</w:t>
      </w:r>
      <w:r w:rsidR="00582C79" w:rsidRPr="00CA4BC3">
        <w:rPr>
          <w:rFonts w:asciiTheme="majorHAnsi" w:eastAsia="Times New Roman" w:hAnsiTheme="majorHAnsi" w:cs="Times New Roman"/>
          <w:sz w:val="22"/>
          <w:szCs w:val="22"/>
        </w:rPr>
        <w:t>cenarios</w:t>
      </w:r>
      <w:r w:rsidR="000D362F" w:rsidRPr="00CA4BC3">
        <w:rPr>
          <w:rFonts w:asciiTheme="majorHAnsi" w:eastAsia="Times New Roman" w:hAnsiTheme="majorHAnsi" w:cs="Times New Roman"/>
          <w:sz w:val="22"/>
          <w:szCs w:val="22"/>
        </w:rPr>
        <w:t xml:space="preserve"> – pros and cons</w:t>
      </w:r>
    </w:p>
    <w:p w14:paraId="6855D050" w14:textId="3F25713E" w:rsidR="00CE3C94" w:rsidRDefault="00CE3C94" w:rsidP="00582C79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Garson Studios</w:t>
      </w:r>
    </w:p>
    <w:p w14:paraId="3C6ACD61" w14:textId="77777777" w:rsidR="00CE3C94" w:rsidRDefault="00CE3C94" w:rsidP="006E574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1BE4152" w14:textId="5A466726" w:rsidR="006E5743" w:rsidRPr="006E5743" w:rsidRDefault="006E5743" w:rsidP="006E574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/>
          <w:sz w:val="22"/>
          <w:szCs w:val="22"/>
        </w:rPr>
      </w:pPr>
      <w:r w:rsidRPr="006E5743">
        <w:rPr>
          <w:rFonts w:asciiTheme="majorHAnsi" w:eastAsia="Times New Roman" w:hAnsiTheme="majorHAnsi" w:cs="Times New Roman"/>
          <w:b/>
          <w:sz w:val="22"/>
          <w:szCs w:val="22"/>
        </w:rPr>
        <w:t>Public Engagement</w:t>
      </w:r>
    </w:p>
    <w:p w14:paraId="1115BE7D" w14:textId="47A6F934" w:rsidR="006E5743" w:rsidRPr="006E5743" w:rsidRDefault="006E5743" w:rsidP="006E5743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Aligning Planning Schedule with Public Engagement</w:t>
      </w:r>
      <w:r w:rsidR="00CA3778">
        <w:rPr>
          <w:rFonts w:asciiTheme="majorHAnsi" w:eastAsia="Times New Roman" w:hAnsiTheme="majorHAnsi" w:cs="Times New Roman"/>
          <w:sz w:val="22"/>
          <w:szCs w:val="22"/>
        </w:rPr>
        <w:t xml:space="preserve"> Work Plan</w:t>
      </w:r>
    </w:p>
    <w:p w14:paraId="17BB9141" w14:textId="77777777" w:rsidR="008704C8" w:rsidRDefault="008704C8" w:rsidP="008704C8">
      <w:pPr>
        <w:rPr>
          <w:rFonts w:asciiTheme="majorHAnsi" w:hAnsiTheme="majorHAnsi"/>
          <w:sz w:val="22"/>
          <w:szCs w:val="22"/>
        </w:rPr>
      </w:pPr>
    </w:p>
    <w:p w14:paraId="7C847413" w14:textId="1855824B" w:rsidR="006E5743" w:rsidRDefault="006B643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STT agreed on </w:t>
      </w:r>
      <w:r w:rsidR="006E5743">
        <w:rPr>
          <w:rFonts w:asciiTheme="majorHAnsi" w:hAnsiTheme="majorHAnsi"/>
          <w:sz w:val="22"/>
          <w:szCs w:val="22"/>
        </w:rPr>
        <w:t>creating committees for each category that would have a “Lead” person</w:t>
      </w:r>
      <w:r w:rsidR="00A0013C">
        <w:rPr>
          <w:rFonts w:asciiTheme="majorHAnsi" w:hAnsiTheme="majorHAnsi"/>
          <w:sz w:val="22"/>
          <w:szCs w:val="22"/>
        </w:rPr>
        <w:t>s</w:t>
      </w:r>
      <w:bookmarkStart w:id="0" w:name="_GoBack"/>
      <w:bookmarkEnd w:id="0"/>
      <w:r w:rsidR="006E5743">
        <w:rPr>
          <w:rFonts w:asciiTheme="majorHAnsi" w:hAnsiTheme="majorHAnsi"/>
          <w:sz w:val="22"/>
          <w:szCs w:val="22"/>
        </w:rPr>
        <w:t xml:space="preserve"> responsible for coordinating meetings and implementing a scope of work for each category, inclu</w:t>
      </w:r>
      <w:r w:rsidR="00A34524">
        <w:rPr>
          <w:rFonts w:asciiTheme="majorHAnsi" w:hAnsiTheme="majorHAnsi"/>
          <w:sz w:val="22"/>
          <w:szCs w:val="22"/>
        </w:rPr>
        <w:t>ding deliverables, as follows (N</w:t>
      </w:r>
      <w:r w:rsidR="006E5743">
        <w:rPr>
          <w:rFonts w:asciiTheme="majorHAnsi" w:hAnsiTheme="majorHAnsi"/>
          <w:sz w:val="22"/>
          <w:szCs w:val="22"/>
        </w:rPr>
        <w:t>ote: the committee members are still being discussed):</w:t>
      </w:r>
      <w:r w:rsidR="002B1CDD">
        <w:rPr>
          <w:rFonts w:asciiTheme="majorHAnsi" w:hAnsiTheme="majorHAnsi"/>
          <w:sz w:val="22"/>
          <w:szCs w:val="22"/>
        </w:rPr>
        <w:t xml:space="preserve"> </w:t>
      </w:r>
      <w:r w:rsidR="00FE7A26">
        <w:rPr>
          <w:rFonts w:asciiTheme="majorHAnsi" w:hAnsiTheme="majorHAnsi"/>
          <w:i/>
          <w:sz w:val="22"/>
          <w:szCs w:val="22"/>
        </w:rPr>
        <w:t>(updated 10FEB</w:t>
      </w:r>
      <w:r w:rsidR="002B1CDD" w:rsidRPr="002B1CDD">
        <w:rPr>
          <w:rFonts w:asciiTheme="majorHAnsi" w:hAnsiTheme="majorHAnsi"/>
          <w:i/>
          <w:sz w:val="22"/>
          <w:szCs w:val="22"/>
        </w:rPr>
        <w:t>2021</w:t>
      </w:r>
      <w:r w:rsidR="002B1CDD">
        <w:rPr>
          <w:rFonts w:asciiTheme="majorHAnsi" w:hAnsiTheme="majorHAnsi"/>
          <w:i/>
          <w:sz w:val="22"/>
          <w:szCs w:val="22"/>
        </w:rPr>
        <w:t xml:space="preserve"> to consolidate Zoning, Development Planning, and </w:t>
      </w:r>
      <w:r w:rsidR="00A0634E">
        <w:rPr>
          <w:rFonts w:asciiTheme="majorHAnsi" w:hAnsiTheme="majorHAnsi"/>
          <w:i/>
          <w:sz w:val="22"/>
          <w:szCs w:val="22"/>
        </w:rPr>
        <w:t>Infrastructure</w:t>
      </w:r>
      <w:r w:rsidR="002B1CDD" w:rsidRPr="002B1CDD">
        <w:rPr>
          <w:rFonts w:asciiTheme="majorHAnsi" w:hAnsiTheme="majorHAnsi"/>
          <w:i/>
          <w:sz w:val="22"/>
          <w:szCs w:val="22"/>
        </w:rPr>
        <w:t>)</w:t>
      </w:r>
    </w:p>
    <w:p w14:paraId="5ACC1F1A" w14:textId="77777777" w:rsidR="006E5743" w:rsidRDefault="006E5743">
      <w:pPr>
        <w:rPr>
          <w:rFonts w:asciiTheme="majorHAnsi" w:hAnsiTheme="majorHAnsi"/>
          <w:sz w:val="22"/>
          <w:szCs w:val="22"/>
        </w:rPr>
      </w:pPr>
    </w:p>
    <w:p w14:paraId="0B1003FB" w14:textId="77777777" w:rsidR="00A0634E" w:rsidRDefault="00A0634E" w:rsidP="002B1CD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Public Engagement</w:t>
      </w:r>
    </w:p>
    <w:p w14:paraId="364FD32C" w14:textId="007560C5" w:rsidR="002B1CDD" w:rsidRDefault="002B1CDD" w:rsidP="00A0634E">
      <w:pPr>
        <w:pStyle w:val="ListParagraph"/>
        <w:ind w:left="4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(Lead: Alexandra </w:t>
      </w:r>
      <w:r w:rsidR="00A0634E">
        <w:rPr>
          <w:rFonts w:asciiTheme="majorHAnsi" w:hAnsiTheme="majorHAnsi"/>
          <w:sz w:val="22"/>
          <w:szCs w:val="22"/>
        </w:rPr>
        <w:t xml:space="preserve">Ladd </w:t>
      </w:r>
      <w:r>
        <w:rPr>
          <w:rFonts w:asciiTheme="majorHAnsi" w:hAnsiTheme="majorHAnsi"/>
          <w:sz w:val="22"/>
          <w:szCs w:val="22"/>
        </w:rPr>
        <w:t>and Daniel Hernandez)</w:t>
      </w:r>
    </w:p>
    <w:p w14:paraId="2F651C45" w14:textId="77777777" w:rsidR="002B1CDD" w:rsidRDefault="002B1CDD" w:rsidP="002B1CDD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Kristine Mihelcic</w:t>
      </w:r>
    </w:p>
    <w:p w14:paraId="54FA6260" w14:textId="77777777" w:rsidR="002B1CDD" w:rsidRDefault="002B1CDD" w:rsidP="002B1CDD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Pauline Kamiyama</w:t>
      </w:r>
    </w:p>
    <w:p w14:paraId="6253A7A0" w14:textId="77777777" w:rsidR="00A0634E" w:rsidRDefault="00A0634E" w:rsidP="006E574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Zoning, Development Planning, Infrastructure</w:t>
      </w:r>
    </w:p>
    <w:p w14:paraId="1388D6D0" w14:textId="3E5282C0" w:rsidR="00A0634E" w:rsidRPr="00A0634E" w:rsidRDefault="00A0634E" w:rsidP="00A0634E">
      <w:pPr>
        <w:ind w:left="400"/>
        <w:rPr>
          <w:rFonts w:asciiTheme="majorHAnsi" w:hAnsiTheme="majorHAnsi"/>
          <w:sz w:val="22"/>
          <w:szCs w:val="22"/>
        </w:rPr>
      </w:pPr>
      <w:r w:rsidRPr="00A0634E">
        <w:rPr>
          <w:rFonts w:asciiTheme="majorHAnsi" w:hAnsiTheme="majorHAnsi"/>
          <w:sz w:val="22"/>
          <w:szCs w:val="22"/>
        </w:rPr>
        <w:t>(Lead: Eli Isaacson and Stefan Pellegrini)</w:t>
      </w:r>
    </w:p>
    <w:p w14:paraId="6B4BB1A4" w14:textId="68A63708" w:rsidR="00A0634E" w:rsidRDefault="00A0634E" w:rsidP="00A0634E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Sally Paez</w:t>
      </w:r>
    </w:p>
    <w:p w14:paraId="05C26093" w14:textId="41AC88A8" w:rsidR="00A0634E" w:rsidRPr="00A0634E" w:rsidRDefault="00A0634E" w:rsidP="00A0634E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Daniel Hernandez</w:t>
      </w:r>
    </w:p>
    <w:p w14:paraId="515D34C7" w14:textId="77777777" w:rsidR="00A0634E" w:rsidRDefault="006E5743" w:rsidP="006E574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6E5743">
        <w:rPr>
          <w:rFonts w:asciiTheme="majorHAnsi" w:hAnsiTheme="majorHAnsi"/>
          <w:sz w:val="22"/>
          <w:szCs w:val="22"/>
        </w:rPr>
        <w:t>Existing Building</w:t>
      </w:r>
      <w:r w:rsidR="00CC587A">
        <w:rPr>
          <w:rFonts w:asciiTheme="majorHAnsi" w:hAnsiTheme="majorHAnsi"/>
          <w:sz w:val="22"/>
          <w:szCs w:val="22"/>
        </w:rPr>
        <w:t>s</w:t>
      </w:r>
      <w:r w:rsidR="00A0634E">
        <w:rPr>
          <w:rFonts w:asciiTheme="majorHAnsi" w:hAnsiTheme="majorHAnsi"/>
          <w:sz w:val="22"/>
          <w:szCs w:val="22"/>
        </w:rPr>
        <w:t xml:space="preserve">, </w:t>
      </w:r>
      <w:r w:rsidRPr="006E5743">
        <w:rPr>
          <w:rFonts w:asciiTheme="majorHAnsi" w:hAnsiTheme="majorHAnsi"/>
          <w:sz w:val="22"/>
          <w:szCs w:val="22"/>
        </w:rPr>
        <w:t>Site Conditions</w:t>
      </w:r>
      <w:r w:rsidR="00A0634E">
        <w:rPr>
          <w:rFonts w:asciiTheme="majorHAnsi" w:hAnsiTheme="majorHAnsi"/>
          <w:sz w:val="22"/>
          <w:szCs w:val="22"/>
        </w:rPr>
        <w:t>, and Fixtures, Furniture &amp; Equipment</w:t>
      </w:r>
    </w:p>
    <w:p w14:paraId="37609A1D" w14:textId="7FBE9E5D" w:rsidR="00582C79" w:rsidRDefault="006E5743" w:rsidP="00A0634E">
      <w:pPr>
        <w:pStyle w:val="ListParagraph"/>
        <w:ind w:left="400"/>
        <w:rPr>
          <w:rFonts w:asciiTheme="majorHAnsi" w:hAnsiTheme="majorHAnsi"/>
          <w:sz w:val="22"/>
          <w:szCs w:val="22"/>
        </w:rPr>
      </w:pPr>
      <w:r w:rsidRPr="006E5743">
        <w:rPr>
          <w:rFonts w:asciiTheme="majorHAnsi" w:hAnsiTheme="majorHAnsi"/>
          <w:sz w:val="22"/>
          <w:szCs w:val="22"/>
        </w:rPr>
        <w:t xml:space="preserve">(Lead: </w:t>
      </w:r>
      <w:r w:rsidR="00A0634E">
        <w:rPr>
          <w:rFonts w:asciiTheme="majorHAnsi" w:hAnsiTheme="majorHAnsi"/>
          <w:sz w:val="22"/>
          <w:szCs w:val="22"/>
        </w:rPr>
        <w:t xml:space="preserve">Sam Burnett and </w:t>
      </w:r>
      <w:r w:rsidRPr="006E5743">
        <w:rPr>
          <w:rFonts w:asciiTheme="majorHAnsi" w:hAnsiTheme="majorHAnsi"/>
          <w:sz w:val="22"/>
          <w:szCs w:val="22"/>
        </w:rPr>
        <w:t xml:space="preserve">Daniel </w:t>
      </w:r>
      <w:r w:rsidR="00A0634E">
        <w:rPr>
          <w:rFonts w:asciiTheme="majorHAnsi" w:hAnsiTheme="majorHAnsi"/>
          <w:sz w:val="22"/>
          <w:szCs w:val="22"/>
        </w:rPr>
        <w:t>Hernandez</w:t>
      </w:r>
      <w:r w:rsidRPr="006E5743">
        <w:rPr>
          <w:rFonts w:asciiTheme="majorHAnsi" w:hAnsiTheme="majorHAnsi"/>
          <w:sz w:val="22"/>
          <w:szCs w:val="22"/>
        </w:rPr>
        <w:t>)</w:t>
      </w:r>
    </w:p>
    <w:p w14:paraId="71FEECFD" w14:textId="55EF5990" w:rsidR="00CA0E76" w:rsidRDefault="00CA0E76" w:rsidP="00CA0E76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Sean Moody</w:t>
      </w:r>
    </w:p>
    <w:p w14:paraId="361B7B26" w14:textId="781E4DA0" w:rsidR="006663E6" w:rsidRPr="006E5743" w:rsidRDefault="009562CC" w:rsidP="00CA0E76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Robert Lambert</w:t>
      </w:r>
    </w:p>
    <w:p w14:paraId="37DCDC73" w14:textId="2DD6A79B" w:rsidR="006E5743" w:rsidRDefault="006E5743" w:rsidP="00CA0E7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CA0E76">
        <w:rPr>
          <w:rFonts w:asciiTheme="majorHAnsi" w:hAnsiTheme="majorHAnsi"/>
          <w:sz w:val="22"/>
          <w:szCs w:val="22"/>
        </w:rPr>
        <w:t xml:space="preserve">Public Finance (Lead: </w:t>
      </w:r>
      <w:r w:rsidR="00A0634E">
        <w:rPr>
          <w:rFonts w:asciiTheme="majorHAnsi" w:hAnsiTheme="majorHAnsi"/>
          <w:sz w:val="22"/>
          <w:szCs w:val="22"/>
        </w:rPr>
        <w:t xml:space="preserve">Mary McCoy and </w:t>
      </w:r>
      <w:r w:rsidR="00BC1286" w:rsidRPr="00CA0E76">
        <w:rPr>
          <w:rFonts w:asciiTheme="majorHAnsi" w:hAnsiTheme="majorHAnsi"/>
          <w:sz w:val="22"/>
          <w:szCs w:val="22"/>
        </w:rPr>
        <w:t>Dena</w:t>
      </w:r>
      <w:r w:rsidR="00CC587A">
        <w:rPr>
          <w:rFonts w:asciiTheme="majorHAnsi" w:hAnsiTheme="majorHAnsi"/>
          <w:sz w:val="22"/>
          <w:szCs w:val="22"/>
        </w:rPr>
        <w:t xml:space="preserve"> </w:t>
      </w:r>
      <w:r w:rsidR="00A0634E">
        <w:rPr>
          <w:rFonts w:asciiTheme="majorHAnsi" w:hAnsiTheme="majorHAnsi"/>
          <w:sz w:val="22"/>
          <w:szCs w:val="22"/>
        </w:rPr>
        <w:t>Belzer</w:t>
      </w:r>
      <w:r w:rsidRPr="00CA0E76">
        <w:rPr>
          <w:rFonts w:asciiTheme="majorHAnsi" w:hAnsiTheme="majorHAnsi"/>
          <w:sz w:val="22"/>
          <w:szCs w:val="22"/>
        </w:rPr>
        <w:t>)</w:t>
      </w:r>
    </w:p>
    <w:p w14:paraId="29C318B9" w14:textId="35B28901" w:rsidR="00CA0E76" w:rsidRDefault="00CA0E76" w:rsidP="00CA0E76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Marcos Martinez</w:t>
      </w:r>
    </w:p>
    <w:p w14:paraId="7DC806F3" w14:textId="6D836D8B" w:rsidR="00CA0E76" w:rsidRDefault="00CA0E76" w:rsidP="00CA0E76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Brad Fluetsch</w:t>
      </w:r>
    </w:p>
    <w:p w14:paraId="660E64A1" w14:textId="2F0A8972" w:rsidR="00CA0E76" w:rsidRPr="00CA0E76" w:rsidRDefault="00FB02CE" w:rsidP="00CA0E76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Alexis </w:t>
      </w:r>
      <w:proofErr w:type="spellStart"/>
      <w:r>
        <w:rPr>
          <w:rFonts w:asciiTheme="majorHAnsi" w:hAnsiTheme="majorHAnsi"/>
          <w:sz w:val="22"/>
          <w:szCs w:val="22"/>
        </w:rPr>
        <w:t>Lotero</w:t>
      </w:r>
      <w:proofErr w:type="spellEnd"/>
    </w:p>
    <w:p w14:paraId="30EDDC84" w14:textId="0812FDE4" w:rsidR="00A0634E" w:rsidRDefault="00C32A89" w:rsidP="00CA0E7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RFEI and </w:t>
      </w:r>
      <w:r w:rsidR="00A0634E">
        <w:rPr>
          <w:rFonts w:asciiTheme="majorHAnsi" w:hAnsiTheme="majorHAnsi"/>
          <w:sz w:val="22"/>
          <w:szCs w:val="22"/>
        </w:rPr>
        <w:t>Solicitation</w:t>
      </w:r>
    </w:p>
    <w:p w14:paraId="3E1EC951" w14:textId="0AAE549B" w:rsidR="00BC1286" w:rsidRDefault="00BC1286" w:rsidP="00A0634E">
      <w:pPr>
        <w:pStyle w:val="ListParagraph"/>
        <w:ind w:left="4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(Lead: </w:t>
      </w:r>
      <w:r w:rsidR="00A0634E">
        <w:rPr>
          <w:rFonts w:asciiTheme="majorHAnsi" w:hAnsiTheme="majorHAnsi"/>
          <w:sz w:val="22"/>
          <w:szCs w:val="22"/>
        </w:rPr>
        <w:t>Andrea Salazar and Daniel Hernandez</w:t>
      </w:r>
      <w:r>
        <w:rPr>
          <w:rFonts w:asciiTheme="majorHAnsi" w:hAnsiTheme="majorHAnsi"/>
          <w:sz w:val="22"/>
          <w:szCs w:val="22"/>
        </w:rPr>
        <w:t>)</w:t>
      </w:r>
    </w:p>
    <w:p w14:paraId="21710BE2" w14:textId="77777777" w:rsidR="00EF0D7B" w:rsidRDefault="00DE47E0" w:rsidP="00CA0E7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Erin</w:t>
      </w:r>
      <w:r w:rsidR="00EF0D7B">
        <w:rPr>
          <w:rFonts w:asciiTheme="majorHAnsi" w:hAnsiTheme="majorHAnsi"/>
          <w:sz w:val="22"/>
          <w:szCs w:val="22"/>
        </w:rPr>
        <w:t xml:space="preserve"> McSherry</w:t>
      </w:r>
    </w:p>
    <w:p w14:paraId="362D2358" w14:textId="08E1A064" w:rsidR="00CA0E76" w:rsidRDefault="00A0634E" w:rsidP="00CA0E7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Marcos Martinez </w:t>
      </w:r>
    </w:p>
    <w:p w14:paraId="6958E7E6" w14:textId="0B15EAFA" w:rsidR="00BD33CC" w:rsidRPr="00EF0D7B" w:rsidRDefault="00EF0D7B" w:rsidP="00EF0D7B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Rich Brown</w:t>
      </w:r>
    </w:p>
    <w:p w14:paraId="4D730647" w14:textId="77777777" w:rsidR="00C562AA" w:rsidRDefault="00C562AA" w:rsidP="00C562AA">
      <w:pPr>
        <w:pStyle w:val="ListParagraph"/>
        <w:ind w:left="1120"/>
        <w:rPr>
          <w:rFonts w:asciiTheme="majorHAnsi" w:hAnsiTheme="majorHAnsi"/>
          <w:sz w:val="22"/>
          <w:szCs w:val="22"/>
        </w:rPr>
      </w:pPr>
    </w:p>
    <w:p w14:paraId="0198831A" w14:textId="77A61F1B" w:rsidR="00A67CCA" w:rsidRDefault="00A67CCA" w:rsidP="00A67CC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Leads of the categories will report updates during the Friday Midtown Check-Ins with Richard Brown, Andrea Salazar, Eli Isaacson, Regina Wheeler, Sam Burnett, </w:t>
      </w:r>
      <w:proofErr w:type="gramStart"/>
      <w:r>
        <w:rPr>
          <w:rFonts w:asciiTheme="majorHAnsi" w:hAnsiTheme="majorHAnsi"/>
          <w:sz w:val="22"/>
          <w:szCs w:val="22"/>
        </w:rPr>
        <w:t>Daniel</w:t>
      </w:r>
      <w:proofErr w:type="gramEnd"/>
      <w:r>
        <w:rPr>
          <w:rFonts w:asciiTheme="majorHAnsi" w:hAnsiTheme="majorHAnsi"/>
          <w:sz w:val="22"/>
          <w:szCs w:val="22"/>
        </w:rPr>
        <w:t xml:space="preserve"> Hernandez.  The STT will also report to the Midtown Steering Committee prior t</w:t>
      </w:r>
      <w:r w:rsidR="00EF0D7B">
        <w:rPr>
          <w:rFonts w:asciiTheme="majorHAnsi" w:hAnsiTheme="majorHAnsi"/>
          <w:sz w:val="22"/>
          <w:szCs w:val="22"/>
        </w:rPr>
        <w:t>o making any formal progress report presentations to the Governing Body</w:t>
      </w:r>
      <w:r>
        <w:rPr>
          <w:rFonts w:asciiTheme="majorHAnsi" w:hAnsiTheme="majorHAnsi"/>
          <w:sz w:val="22"/>
          <w:szCs w:val="22"/>
        </w:rPr>
        <w:t>.</w:t>
      </w:r>
    </w:p>
    <w:p w14:paraId="744065E0" w14:textId="77777777" w:rsidR="008C456B" w:rsidRDefault="008C456B" w:rsidP="007B1FAD">
      <w:pPr>
        <w:rPr>
          <w:rFonts w:asciiTheme="majorHAnsi" w:hAnsiTheme="majorHAnsi"/>
          <w:sz w:val="22"/>
          <w:szCs w:val="22"/>
        </w:rPr>
      </w:pPr>
    </w:p>
    <w:p w14:paraId="06E33720" w14:textId="77777777" w:rsidR="007B1FAD" w:rsidRDefault="007B1FAD" w:rsidP="007B1FAD">
      <w:pPr>
        <w:rPr>
          <w:rFonts w:asciiTheme="majorHAnsi" w:hAnsiTheme="majorHAnsi"/>
          <w:sz w:val="22"/>
          <w:szCs w:val="22"/>
        </w:rPr>
      </w:pPr>
    </w:p>
    <w:p w14:paraId="55C67CB9" w14:textId="77777777" w:rsidR="007B1FAD" w:rsidRPr="007B1FAD" w:rsidRDefault="007B1FAD" w:rsidP="007B1FAD">
      <w:pPr>
        <w:rPr>
          <w:rFonts w:asciiTheme="majorHAnsi" w:hAnsiTheme="majorHAnsi"/>
          <w:sz w:val="22"/>
          <w:szCs w:val="22"/>
        </w:rPr>
      </w:pPr>
    </w:p>
    <w:sectPr w:rsidR="007B1FAD" w:rsidRPr="007B1FAD" w:rsidSect="000448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13D"/>
    <w:multiLevelType w:val="hybridMultilevel"/>
    <w:tmpl w:val="1F24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01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422C60C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FFE467E4">
      <w:start w:val="1"/>
      <w:numFmt w:val="bullet"/>
      <w:lvlText w:val="–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345"/>
    <w:multiLevelType w:val="hybridMultilevel"/>
    <w:tmpl w:val="E14822A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15CF4BB8"/>
    <w:multiLevelType w:val="hybridMultilevel"/>
    <w:tmpl w:val="F0E2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01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59BE"/>
    <w:multiLevelType w:val="hybridMultilevel"/>
    <w:tmpl w:val="198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22AC"/>
    <w:multiLevelType w:val="hybridMultilevel"/>
    <w:tmpl w:val="BB2AECC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4556451D"/>
    <w:multiLevelType w:val="hybridMultilevel"/>
    <w:tmpl w:val="3330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358E8"/>
    <w:multiLevelType w:val="hybridMultilevel"/>
    <w:tmpl w:val="C8EA672E"/>
    <w:lvl w:ilvl="0" w:tplc="2034CD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49093562"/>
    <w:multiLevelType w:val="hybridMultilevel"/>
    <w:tmpl w:val="67D84D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30D6597"/>
    <w:multiLevelType w:val="hybridMultilevel"/>
    <w:tmpl w:val="EE1E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55239"/>
    <w:multiLevelType w:val="hybridMultilevel"/>
    <w:tmpl w:val="B378AC0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60544E45"/>
    <w:multiLevelType w:val="hybridMultilevel"/>
    <w:tmpl w:val="E488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01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422C60C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E101A"/>
    <w:multiLevelType w:val="multilevel"/>
    <w:tmpl w:val="A002D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75990"/>
    <w:multiLevelType w:val="hybridMultilevel"/>
    <w:tmpl w:val="74961B2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71995153"/>
    <w:multiLevelType w:val="hybridMultilevel"/>
    <w:tmpl w:val="3E5E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E396B"/>
    <w:multiLevelType w:val="hybridMultilevel"/>
    <w:tmpl w:val="08E4940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9"/>
    <w:rsid w:val="000448EC"/>
    <w:rsid w:val="000C2AEA"/>
    <w:rsid w:val="000D362F"/>
    <w:rsid w:val="000D4178"/>
    <w:rsid w:val="00100B87"/>
    <w:rsid w:val="0013010E"/>
    <w:rsid w:val="00140416"/>
    <w:rsid w:val="001C6DB2"/>
    <w:rsid w:val="00206BE6"/>
    <w:rsid w:val="002B0F11"/>
    <w:rsid w:val="002B1CDD"/>
    <w:rsid w:val="00345278"/>
    <w:rsid w:val="003B41A6"/>
    <w:rsid w:val="003C25F9"/>
    <w:rsid w:val="00424B64"/>
    <w:rsid w:val="00432A71"/>
    <w:rsid w:val="0043469A"/>
    <w:rsid w:val="004475CD"/>
    <w:rsid w:val="004762A0"/>
    <w:rsid w:val="004E2979"/>
    <w:rsid w:val="005037D6"/>
    <w:rsid w:val="0055158E"/>
    <w:rsid w:val="00572E01"/>
    <w:rsid w:val="00582C79"/>
    <w:rsid w:val="005A5181"/>
    <w:rsid w:val="005A792D"/>
    <w:rsid w:val="005E6399"/>
    <w:rsid w:val="00652B2E"/>
    <w:rsid w:val="006663E6"/>
    <w:rsid w:val="006B6430"/>
    <w:rsid w:val="006E5743"/>
    <w:rsid w:val="0073607B"/>
    <w:rsid w:val="007B1FAD"/>
    <w:rsid w:val="007D2F67"/>
    <w:rsid w:val="00824BC5"/>
    <w:rsid w:val="008704C8"/>
    <w:rsid w:val="00886B03"/>
    <w:rsid w:val="008B763C"/>
    <w:rsid w:val="008C456B"/>
    <w:rsid w:val="009076FC"/>
    <w:rsid w:val="009500CF"/>
    <w:rsid w:val="009562CC"/>
    <w:rsid w:val="009C4A54"/>
    <w:rsid w:val="00A0013C"/>
    <w:rsid w:val="00A0634E"/>
    <w:rsid w:val="00A34524"/>
    <w:rsid w:val="00A54055"/>
    <w:rsid w:val="00A63119"/>
    <w:rsid w:val="00A648A2"/>
    <w:rsid w:val="00A67CCA"/>
    <w:rsid w:val="00A95D0D"/>
    <w:rsid w:val="00BC1286"/>
    <w:rsid w:val="00BD33CC"/>
    <w:rsid w:val="00C0276C"/>
    <w:rsid w:val="00C32A89"/>
    <w:rsid w:val="00C35C6C"/>
    <w:rsid w:val="00C562AA"/>
    <w:rsid w:val="00C60CD7"/>
    <w:rsid w:val="00C62320"/>
    <w:rsid w:val="00C736BA"/>
    <w:rsid w:val="00C94871"/>
    <w:rsid w:val="00CA0E76"/>
    <w:rsid w:val="00CA3778"/>
    <w:rsid w:val="00CA4BC3"/>
    <w:rsid w:val="00CC587A"/>
    <w:rsid w:val="00CE3C94"/>
    <w:rsid w:val="00D12671"/>
    <w:rsid w:val="00D44557"/>
    <w:rsid w:val="00D8505C"/>
    <w:rsid w:val="00DA4812"/>
    <w:rsid w:val="00DB662A"/>
    <w:rsid w:val="00DE47E0"/>
    <w:rsid w:val="00E20E28"/>
    <w:rsid w:val="00EA663A"/>
    <w:rsid w:val="00EB1107"/>
    <w:rsid w:val="00EF0D7B"/>
    <w:rsid w:val="00F04381"/>
    <w:rsid w:val="00F104A1"/>
    <w:rsid w:val="00F326EA"/>
    <w:rsid w:val="00F83C03"/>
    <w:rsid w:val="00FA26CB"/>
    <w:rsid w:val="00FB02CE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FAE0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460</Words>
  <Characters>2627</Characters>
  <Application>Microsoft Macintosh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</dc:creator>
  <cp:keywords/>
  <dc:description/>
  <cp:lastModifiedBy>Daniel Hernandez</cp:lastModifiedBy>
  <cp:revision>76</cp:revision>
  <dcterms:created xsi:type="dcterms:W3CDTF">2021-01-04T18:24:00Z</dcterms:created>
  <dcterms:modified xsi:type="dcterms:W3CDTF">2021-02-25T01:11:00Z</dcterms:modified>
</cp:coreProperties>
</file>